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8898" w14:textId="0AE5ED0F" w:rsidR="0007192B" w:rsidRPr="00987C64" w:rsidRDefault="00A96DEA" w:rsidP="0007192B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87C64">
        <w:rPr>
          <w:rFonts w:asciiTheme="minorHAnsi" w:hAnsiTheme="minorHAnsi" w:cstheme="minorHAnsi"/>
          <w:b/>
          <w:bCs/>
          <w:sz w:val="22"/>
          <w:szCs w:val="22"/>
        </w:rPr>
        <w:t>{</w:t>
      </w:r>
      <w:r w:rsidR="0007192B" w:rsidRPr="00987C64">
        <w:rPr>
          <w:rFonts w:asciiTheme="minorHAnsi" w:hAnsiTheme="minorHAnsi" w:cstheme="minorHAnsi"/>
          <w:b/>
          <w:bCs/>
          <w:sz w:val="22"/>
          <w:szCs w:val="22"/>
        </w:rPr>
        <w:t>To be completed on headed school paper</w:t>
      </w:r>
      <w:r w:rsidRPr="00987C64">
        <w:rPr>
          <w:rFonts w:asciiTheme="minorHAnsi" w:hAnsiTheme="minorHAnsi" w:cstheme="minorHAnsi"/>
          <w:b/>
          <w:bCs/>
          <w:sz w:val="22"/>
          <w:szCs w:val="22"/>
        </w:rPr>
        <w:t>}</w:t>
      </w:r>
    </w:p>
    <w:p w14:paraId="3B990384" w14:textId="77777777" w:rsidR="0007192B" w:rsidRPr="00A96DEA" w:rsidRDefault="0007192B" w:rsidP="0007192B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6569C30" w14:textId="58C26F26" w:rsidR="00A96DEA" w:rsidRPr="00A96DEA" w:rsidRDefault="00A96DEA" w:rsidP="0007192B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{</w:t>
      </w:r>
      <w:r w:rsidR="0007192B" w:rsidRPr="00A96DEA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>}</w:t>
      </w:r>
    </w:p>
    <w:p w14:paraId="468BF1F7" w14:textId="77777777" w:rsidR="0007192B" w:rsidRPr="00A96DEA" w:rsidRDefault="0007192B" w:rsidP="0007192B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96DEA">
        <w:rPr>
          <w:rFonts w:asciiTheme="minorHAnsi" w:hAnsiTheme="minorHAnsi" w:cstheme="minorHAnsi"/>
          <w:sz w:val="22"/>
          <w:szCs w:val="22"/>
        </w:rPr>
        <w:t>We wish to purchase emergency Adrenaline Auto-injector devices for use in our school/college.</w:t>
      </w:r>
    </w:p>
    <w:p w14:paraId="0C034ED0" w14:textId="53B2CC8E" w:rsidR="00A96DEA" w:rsidRPr="00A96DEA" w:rsidRDefault="0007192B" w:rsidP="0007192B">
      <w:pPr>
        <w:rPr>
          <w:rFonts w:asciiTheme="minorHAnsi" w:hAnsiTheme="minorHAnsi" w:cstheme="minorHAnsi"/>
          <w:sz w:val="22"/>
          <w:szCs w:val="22"/>
        </w:rPr>
      </w:pPr>
      <w:r w:rsidRPr="00A96DEA">
        <w:rPr>
          <w:rFonts w:asciiTheme="minorHAnsi" w:hAnsiTheme="minorHAnsi" w:cstheme="minorHAnsi"/>
          <w:sz w:val="22"/>
          <w:szCs w:val="22"/>
        </w:rPr>
        <w:t xml:space="preserve">The adrenaline auto-injectors will be used in line with the manufacturer’s instructions, for the emergency treatment of anaphylaxis in accordance with the Human Medicines (Amendment) Regulations 2017. </w:t>
      </w:r>
    </w:p>
    <w:p w14:paraId="25D159EC" w14:textId="0D5E4BBD" w:rsidR="00A96DEA" w:rsidRPr="00A96DEA" w:rsidRDefault="0007192B" w:rsidP="0007192B">
      <w:pPr>
        <w:rPr>
          <w:rFonts w:asciiTheme="minorHAnsi" w:hAnsiTheme="minorHAnsi" w:cstheme="minorHAnsi"/>
          <w:sz w:val="22"/>
          <w:szCs w:val="22"/>
        </w:rPr>
      </w:pPr>
      <w:r w:rsidRPr="00A96DEA">
        <w:rPr>
          <w:rFonts w:asciiTheme="minorHAnsi" w:hAnsiTheme="minorHAnsi" w:cstheme="minorHAnsi"/>
          <w:sz w:val="22"/>
          <w:szCs w:val="22"/>
        </w:rPr>
        <w:t xml:space="preserve">This allows schools to purchase “spare” back-up adrenaline auto-injectors for the emergency treatment of anaphylaxis. </w:t>
      </w:r>
    </w:p>
    <w:p w14:paraId="64996EB4" w14:textId="362EF965" w:rsidR="0007192B" w:rsidRPr="00A96DEA" w:rsidRDefault="0007192B" w:rsidP="0007192B">
      <w:pPr>
        <w:rPr>
          <w:rFonts w:asciiTheme="minorHAnsi" w:hAnsiTheme="minorHAnsi" w:cstheme="minorHAnsi"/>
          <w:sz w:val="22"/>
          <w:szCs w:val="22"/>
        </w:rPr>
      </w:pPr>
      <w:r w:rsidRPr="00A96DEA">
        <w:rPr>
          <w:rFonts w:asciiTheme="minorHAnsi" w:hAnsiTheme="minorHAnsi" w:cstheme="minorHAnsi"/>
          <w:sz w:val="22"/>
          <w:szCs w:val="22"/>
        </w:rPr>
        <w:t>Further information can be found at</w:t>
      </w:r>
      <w:r w:rsidR="00A96DEA" w:rsidRPr="00A96DEA">
        <w:rPr>
          <w:rFonts w:asciiTheme="minorHAnsi" w:hAnsiTheme="minorHAnsi" w:cstheme="minorHAnsi"/>
          <w:sz w:val="22"/>
          <w:szCs w:val="22"/>
        </w:rPr>
        <w:t xml:space="preserve">: </w:t>
      </w:r>
      <w:r w:rsidR="00A96DEA" w:rsidRPr="00A96DEA">
        <w:rPr>
          <w:rFonts w:asciiTheme="minorHAnsi" w:hAnsiTheme="minorHAnsi" w:cstheme="minorHAnsi"/>
          <w:i/>
          <w:iCs/>
          <w:sz w:val="22"/>
          <w:szCs w:val="22"/>
        </w:rPr>
        <w:t>https://assets.publishing.service.gov.uk/government/uploads/system/uploads/attachment_data/file/645476/Adrenaline_auto_injectors_in_schools.pdf</w:t>
      </w:r>
    </w:p>
    <w:p w14:paraId="39E27EB3" w14:textId="43226372" w:rsidR="0007192B" w:rsidRPr="00A96DEA" w:rsidRDefault="0007192B" w:rsidP="00A96DEA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96DEA">
        <w:rPr>
          <w:rFonts w:asciiTheme="minorHAnsi" w:hAnsiTheme="minorHAnsi" w:cstheme="minorHAnsi"/>
          <w:sz w:val="22"/>
          <w:szCs w:val="22"/>
        </w:rPr>
        <w:t>Please supply the following devices: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989"/>
        <w:gridCol w:w="3132"/>
        <w:gridCol w:w="1208"/>
      </w:tblGrid>
      <w:tr w:rsidR="0007192B" w:rsidRPr="00A96DEA" w14:paraId="1543F1D4" w14:textId="77777777" w:rsidTr="003842B9">
        <w:trPr>
          <w:trHeight w:val="631"/>
        </w:trPr>
        <w:tc>
          <w:tcPr>
            <w:tcW w:w="2518" w:type="dxa"/>
          </w:tcPr>
          <w:p w14:paraId="41236D06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Brand name*</w:t>
            </w:r>
          </w:p>
        </w:tc>
        <w:tc>
          <w:tcPr>
            <w:tcW w:w="3260" w:type="dxa"/>
          </w:tcPr>
          <w:p w14:paraId="071A4A69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6A55FB6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Dose*</w:t>
            </w:r>
          </w:p>
          <w:p w14:paraId="61557A1E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(state milligrams or micrograms)</w:t>
            </w:r>
          </w:p>
        </w:tc>
        <w:tc>
          <w:tcPr>
            <w:tcW w:w="1240" w:type="dxa"/>
          </w:tcPr>
          <w:p w14:paraId="273AC929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Quantity required</w:t>
            </w:r>
          </w:p>
        </w:tc>
      </w:tr>
      <w:tr w:rsidR="0007192B" w:rsidRPr="00A96DEA" w14:paraId="2E61036A" w14:textId="77777777" w:rsidTr="003842B9">
        <w:trPr>
          <w:trHeight w:val="696"/>
        </w:trPr>
        <w:tc>
          <w:tcPr>
            <w:tcW w:w="2518" w:type="dxa"/>
          </w:tcPr>
          <w:p w14:paraId="6AA113E0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0846B9D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Adrenaline auto-injector device</w:t>
            </w:r>
          </w:p>
        </w:tc>
        <w:tc>
          <w:tcPr>
            <w:tcW w:w="3402" w:type="dxa"/>
          </w:tcPr>
          <w:p w14:paraId="33214DD0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1FB2EDFF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07192B" w:rsidRPr="00A96DEA" w14:paraId="27C42E7B" w14:textId="77777777" w:rsidTr="003842B9">
        <w:trPr>
          <w:trHeight w:val="706"/>
        </w:trPr>
        <w:tc>
          <w:tcPr>
            <w:tcW w:w="2518" w:type="dxa"/>
          </w:tcPr>
          <w:p w14:paraId="5ACCC0B0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C090F34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Adrenaline auto-injector device</w:t>
            </w:r>
          </w:p>
        </w:tc>
        <w:tc>
          <w:tcPr>
            <w:tcW w:w="3402" w:type="dxa"/>
          </w:tcPr>
          <w:p w14:paraId="029933FB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A6BE1D9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2C37FDB3" w14:textId="77777777" w:rsidR="0007192B" w:rsidRPr="00A96DEA" w:rsidRDefault="0007192B" w:rsidP="0007192B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751E37E" w14:textId="428E28F7" w:rsidR="00A96DEA" w:rsidRPr="00A96DEA" w:rsidRDefault="0007192B" w:rsidP="00A96DEA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96DEA">
        <w:rPr>
          <w:rFonts w:asciiTheme="minorHAnsi" w:hAnsiTheme="minorHAnsi" w:cstheme="minorHAnsi"/>
          <w:sz w:val="22"/>
          <w:szCs w:val="22"/>
        </w:rPr>
        <w:t>Signed:   _______________________________</w:t>
      </w:r>
      <w:r w:rsidRPr="00A96DEA">
        <w:rPr>
          <w:rFonts w:asciiTheme="minorHAnsi" w:hAnsiTheme="minorHAnsi" w:cstheme="minorHAnsi"/>
          <w:sz w:val="22"/>
          <w:szCs w:val="22"/>
        </w:rPr>
        <w:tab/>
        <w:t>Date: _________________</w:t>
      </w:r>
    </w:p>
    <w:p w14:paraId="2BA7C54A" w14:textId="2D5AEFD5" w:rsidR="0007192B" w:rsidRPr="00A96DEA" w:rsidRDefault="00A96DEA" w:rsidP="0007192B">
      <w:pPr>
        <w:pStyle w:val="BulletList1unnumbered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{</w:t>
      </w:r>
      <w:r w:rsidR="0007192B" w:rsidRPr="00A96DEA">
        <w:rPr>
          <w:rFonts w:asciiTheme="minorHAnsi" w:hAnsiTheme="minorHAnsi" w:cstheme="minorHAnsi"/>
          <w:sz w:val="22"/>
          <w:szCs w:val="22"/>
        </w:rPr>
        <w:t>Print name</w:t>
      </w:r>
      <w:r>
        <w:rPr>
          <w:rFonts w:asciiTheme="minorHAnsi" w:hAnsiTheme="minorHAnsi" w:cstheme="minorHAnsi"/>
          <w:sz w:val="22"/>
          <w:szCs w:val="22"/>
        </w:rPr>
        <w:t>}</w:t>
      </w:r>
    </w:p>
    <w:p w14:paraId="79931964" w14:textId="1C61C58C" w:rsidR="00A96DEA" w:rsidRDefault="0007192B" w:rsidP="00A96DEA">
      <w:pPr>
        <w:pStyle w:val="BulletList1unnumbered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96DEA">
        <w:rPr>
          <w:rFonts w:asciiTheme="minorHAnsi" w:hAnsiTheme="minorHAnsi" w:cstheme="minorHAnsi"/>
          <w:b/>
          <w:bCs/>
          <w:sz w:val="22"/>
          <w:szCs w:val="22"/>
        </w:rPr>
        <w:t>Head</w:t>
      </w:r>
      <w:r w:rsidR="00987C64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A96DEA">
        <w:rPr>
          <w:rFonts w:asciiTheme="minorHAnsi" w:hAnsiTheme="minorHAnsi" w:cstheme="minorHAnsi"/>
          <w:b/>
          <w:bCs/>
          <w:sz w:val="22"/>
          <w:szCs w:val="22"/>
        </w:rPr>
        <w:t>eacher/Principal</w:t>
      </w:r>
    </w:p>
    <w:p w14:paraId="6E929676" w14:textId="77777777" w:rsidR="00A96DEA" w:rsidRDefault="00A96DEA" w:rsidP="00A96DEA">
      <w:pPr>
        <w:pStyle w:val="BulletList1unnumbered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3DA0C" w14:textId="012ECE29" w:rsidR="00A96DEA" w:rsidRPr="00A96DEA" w:rsidRDefault="00A96DEA" w:rsidP="00A96DEA">
      <w:pPr>
        <w:pStyle w:val="BulletList1unnumbered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</w:t>
      </w:r>
    </w:p>
    <w:p w14:paraId="2DC30715" w14:textId="77777777" w:rsidR="00A96DEA" w:rsidRPr="00A96DEA" w:rsidRDefault="00A96DEA" w:rsidP="0007192B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96DEA">
        <w:rPr>
          <w:rFonts w:asciiTheme="minorHAnsi" w:hAnsiTheme="minorHAnsi" w:cstheme="minorHAnsi"/>
          <w:b/>
          <w:bCs/>
          <w:sz w:val="22"/>
          <w:szCs w:val="22"/>
        </w:rPr>
        <w:t>TO NOTE:</w:t>
      </w:r>
    </w:p>
    <w:p w14:paraId="54CC1F16" w14:textId="5AFCC29E" w:rsidR="0007192B" w:rsidRPr="00A96DEA" w:rsidRDefault="0007192B" w:rsidP="0007192B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96DEA">
        <w:rPr>
          <w:rFonts w:asciiTheme="minorHAnsi" w:hAnsiTheme="minorHAnsi" w:cstheme="minorHAnsi"/>
          <w:sz w:val="22"/>
          <w:szCs w:val="22"/>
        </w:rPr>
        <w:t xml:space="preserve">*AAIs are available in different doses and devices. Schools may wish to purchase the brand </w:t>
      </w:r>
      <w:proofErr w:type="gramStart"/>
      <w:r w:rsidRPr="00A96DEA">
        <w:rPr>
          <w:rFonts w:asciiTheme="minorHAnsi" w:hAnsiTheme="minorHAnsi" w:cstheme="minorHAnsi"/>
          <w:sz w:val="22"/>
          <w:szCs w:val="22"/>
        </w:rPr>
        <w:t>most commonly prescribed</w:t>
      </w:r>
      <w:proofErr w:type="gramEnd"/>
      <w:r w:rsidRPr="00A96DEA">
        <w:rPr>
          <w:rFonts w:asciiTheme="minorHAnsi" w:hAnsiTheme="minorHAnsi" w:cstheme="minorHAnsi"/>
          <w:sz w:val="22"/>
          <w:szCs w:val="22"/>
        </w:rPr>
        <w:t xml:space="preserve"> to its pupils (to reduce confusion and assist with training). Guidance from the Department of Health to schools recommends: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089"/>
        <w:gridCol w:w="3091"/>
        <w:gridCol w:w="3090"/>
      </w:tblGrid>
      <w:tr w:rsidR="0007192B" w:rsidRPr="00A96DEA" w14:paraId="246562E1" w14:textId="77777777" w:rsidTr="003842B9">
        <w:tc>
          <w:tcPr>
            <w:tcW w:w="3355" w:type="dxa"/>
          </w:tcPr>
          <w:p w14:paraId="35D181A2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For children age under 6 years:</w:t>
            </w:r>
          </w:p>
        </w:tc>
        <w:tc>
          <w:tcPr>
            <w:tcW w:w="3355" w:type="dxa"/>
          </w:tcPr>
          <w:p w14:paraId="4166FA3E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 xml:space="preserve">For children </w:t>
            </w:r>
            <w:proofErr w:type="gramStart"/>
            <w:r w:rsidRPr="00A96DEA">
              <w:rPr>
                <w:rFonts w:asciiTheme="minorHAnsi" w:hAnsiTheme="minorHAnsi" w:cstheme="minorHAnsi"/>
              </w:rPr>
              <w:t>age</w:t>
            </w:r>
            <w:proofErr w:type="gramEnd"/>
            <w:r w:rsidRPr="00A96DEA">
              <w:rPr>
                <w:rFonts w:asciiTheme="minorHAnsi" w:hAnsiTheme="minorHAnsi" w:cstheme="minorHAnsi"/>
              </w:rPr>
              <w:t xml:space="preserve"> 6-12 years:</w:t>
            </w:r>
          </w:p>
        </w:tc>
        <w:tc>
          <w:tcPr>
            <w:tcW w:w="3353" w:type="dxa"/>
          </w:tcPr>
          <w:p w14:paraId="269B06EC" w14:textId="77777777" w:rsidR="0007192B" w:rsidRPr="00A96DEA" w:rsidRDefault="0007192B" w:rsidP="003842B9">
            <w:pPr>
              <w:pStyle w:val="BulletList1unnumbered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6DEA">
              <w:rPr>
                <w:rFonts w:asciiTheme="minorHAnsi" w:hAnsiTheme="minorHAnsi" w:cstheme="minorHAnsi"/>
              </w:rPr>
              <w:t>For teenagers age 12+ years:</w:t>
            </w:r>
          </w:p>
        </w:tc>
      </w:tr>
      <w:tr w:rsidR="0007192B" w:rsidRPr="00A96DEA" w14:paraId="1560CB2E" w14:textId="77777777" w:rsidTr="003842B9">
        <w:tc>
          <w:tcPr>
            <w:tcW w:w="3355" w:type="dxa"/>
          </w:tcPr>
          <w:p w14:paraId="608F0EBA" w14:textId="6DB45C25" w:rsidR="0007192B" w:rsidRPr="00A96DEA" w:rsidRDefault="0007192B" w:rsidP="0007192B">
            <w:pPr>
              <w:pStyle w:val="BulletList1unnumbered"/>
              <w:numPr>
                <w:ilvl w:val="0"/>
                <w:numId w:val="2"/>
              </w:numPr>
              <w:spacing w:before="0" w:after="0" w:line="240" w:lineRule="auto"/>
              <w:ind w:left="210" w:hanging="142"/>
              <w:rPr>
                <w:rFonts w:asciiTheme="minorHAnsi" w:hAnsiTheme="minorHAnsi" w:cstheme="minorHAnsi"/>
              </w:rPr>
            </w:pPr>
            <w:proofErr w:type="spellStart"/>
            <w:r w:rsidRPr="00A96DEA">
              <w:rPr>
                <w:rFonts w:asciiTheme="minorHAnsi" w:hAnsiTheme="minorHAnsi" w:cstheme="minorHAnsi"/>
              </w:rPr>
              <w:t>Epipen</w:t>
            </w:r>
            <w:proofErr w:type="spellEnd"/>
            <w:r w:rsidRPr="00A96DEA">
              <w:rPr>
                <w:rFonts w:asciiTheme="minorHAnsi" w:hAnsiTheme="minorHAnsi" w:cstheme="minorHAnsi"/>
              </w:rPr>
              <w:t xml:space="preserve"> Junior (0.15</w:t>
            </w:r>
            <w:proofErr w:type="gramStart"/>
            <w:r w:rsidRPr="00A96DEA">
              <w:rPr>
                <w:rFonts w:asciiTheme="minorHAnsi" w:hAnsiTheme="minorHAnsi" w:cstheme="minorHAnsi"/>
              </w:rPr>
              <w:t xml:space="preserve">mg)  </w:t>
            </w:r>
            <w:r w:rsidRPr="00A96DEA">
              <w:rPr>
                <w:rFonts w:asciiTheme="minorHAnsi" w:hAnsiTheme="minorHAnsi" w:cstheme="minorHAnsi"/>
                <w:b/>
              </w:rPr>
              <w:t>or</w:t>
            </w:r>
            <w:proofErr w:type="gramEnd"/>
            <w:r w:rsidRPr="00A96DEA">
              <w:rPr>
                <w:rFonts w:asciiTheme="minorHAnsi" w:hAnsiTheme="minorHAnsi" w:cstheme="minorHAnsi"/>
              </w:rPr>
              <w:t xml:space="preserve"> </w:t>
            </w:r>
          </w:p>
          <w:p w14:paraId="68F0C82B" w14:textId="77777777" w:rsidR="0007192B" w:rsidRPr="00A96DEA" w:rsidRDefault="0007192B" w:rsidP="0007192B">
            <w:pPr>
              <w:pStyle w:val="BulletList1unnumbered"/>
              <w:numPr>
                <w:ilvl w:val="0"/>
                <w:numId w:val="2"/>
              </w:numPr>
              <w:spacing w:before="0" w:after="0" w:line="240" w:lineRule="auto"/>
              <w:ind w:left="210" w:hanging="142"/>
              <w:rPr>
                <w:rFonts w:asciiTheme="minorHAnsi" w:hAnsiTheme="minorHAnsi" w:cstheme="minorHAnsi"/>
              </w:rPr>
            </w:pPr>
            <w:proofErr w:type="spellStart"/>
            <w:r w:rsidRPr="00A96DEA">
              <w:rPr>
                <w:rFonts w:asciiTheme="minorHAnsi" w:hAnsiTheme="minorHAnsi" w:cstheme="minorHAnsi"/>
              </w:rPr>
              <w:t>Jext</w:t>
            </w:r>
            <w:proofErr w:type="spellEnd"/>
            <w:r w:rsidRPr="00A96DEA">
              <w:rPr>
                <w:rFonts w:asciiTheme="minorHAnsi" w:hAnsiTheme="minorHAnsi" w:cstheme="minorHAnsi"/>
              </w:rPr>
              <w:t xml:space="preserve"> 150 microgram</w:t>
            </w:r>
          </w:p>
        </w:tc>
        <w:tc>
          <w:tcPr>
            <w:tcW w:w="3355" w:type="dxa"/>
          </w:tcPr>
          <w:p w14:paraId="783C176C" w14:textId="22105FCC" w:rsidR="0007192B" w:rsidRPr="00A96DEA" w:rsidRDefault="0007192B" w:rsidP="0007192B">
            <w:pPr>
              <w:pStyle w:val="BulletList1unnumbered"/>
              <w:numPr>
                <w:ilvl w:val="0"/>
                <w:numId w:val="2"/>
              </w:numPr>
              <w:spacing w:before="0" w:after="0" w:line="240" w:lineRule="auto"/>
              <w:ind w:left="210" w:hanging="142"/>
              <w:rPr>
                <w:rFonts w:asciiTheme="minorHAnsi" w:hAnsiTheme="minorHAnsi" w:cstheme="minorHAnsi"/>
              </w:rPr>
            </w:pPr>
            <w:proofErr w:type="spellStart"/>
            <w:r w:rsidRPr="00A96DEA">
              <w:rPr>
                <w:rFonts w:asciiTheme="minorHAnsi" w:hAnsiTheme="minorHAnsi" w:cstheme="minorHAnsi"/>
              </w:rPr>
              <w:t>Epipen</w:t>
            </w:r>
            <w:proofErr w:type="spellEnd"/>
            <w:r w:rsidRPr="00A96DEA">
              <w:rPr>
                <w:rFonts w:asciiTheme="minorHAnsi" w:hAnsiTheme="minorHAnsi" w:cstheme="minorHAnsi"/>
              </w:rPr>
              <w:t xml:space="preserve"> (0.3 </w:t>
            </w:r>
            <w:proofErr w:type="gramStart"/>
            <w:r w:rsidRPr="00A96DEA">
              <w:rPr>
                <w:rFonts w:asciiTheme="minorHAnsi" w:hAnsiTheme="minorHAnsi" w:cstheme="minorHAnsi"/>
              </w:rPr>
              <w:t xml:space="preserve">milligrams)  </w:t>
            </w:r>
            <w:r w:rsidRPr="00A96DEA">
              <w:rPr>
                <w:rFonts w:asciiTheme="minorHAnsi" w:hAnsiTheme="minorHAnsi" w:cstheme="minorHAnsi"/>
                <w:b/>
              </w:rPr>
              <w:t>or</w:t>
            </w:r>
            <w:proofErr w:type="gramEnd"/>
            <w:r w:rsidRPr="00A96DEA">
              <w:rPr>
                <w:rFonts w:asciiTheme="minorHAnsi" w:hAnsiTheme="minorHAnsi" w:cstheme="minorHAnsi"/>
              </w:rPr>
              <w:t xml:space="preserve"> </w:t>
            </w:r>
          </w:p>
          <w:p w14:paraId="36B55E0B" w14:textId="77777777" w:rsidR="0007192B" w:rsidRPr="00A96DEA" w:rsidRDefault="0007192B" w:rsidP="0007192B">
            <w:pPr>
              <w:pStyle w:val="BulletList1unnumbered"/>
              <w:numPr>
                <w:ilvl w:val="0"/>
                <w:numId w:val="2"/>
              </w:numPr>
              <w:spacing w:before="0" w:after="0" w:line="240" w:lineRule="auto"/>
              <w:ind w:left="210" w:hanging="142"/>
              <w:rPr>
                <w:rFonts w:asciiTheme="minorHAnsi" w:hAnsiTheme="minorHAnsi" w:cstheme="minorHAnsi"/>
              </w:rPr>
            </w:pPr>
            <w:proofErr w:type="spellStart"/>
            <w:r w:rsidRPr="00A96DEA">
              <w:rPr>
                <w:rFonts w:asciiTheme="minorHAnsi" w:hAnsiTheme="minorHAnsi" w:cstheme="minorHAnsi"/>
              </w:rPr>
              <w:t>Jext</w:t>
            </w:r>
            <w:proofErr w:type="spellEnd"/>
            <w:r w:rsidRPr="00A96DEA">
              <w:rPr>
                <w:rFonts w:asciiTheme="minorHAnsi" w:hAnsiTheme="minorHAnsi" w:cstheme="minorHAnsi"/>
              </w:rPr>
              <w:t xml:space="preserve"> 300 microgram</w:t>
            </w:r>
          </w:p>
        </w:tc>
        <w:tc>
          <w:tcPr>
            <w:tcW w:w="3353" w:type="dxa"/>
          </w:tcPr>
          <w:p w14:paraId="66E58E3B" w14:textId="037B8D0D" w:rsidR="0007192B" w:rsidRPr="00A96DEA" w:rsidRDefault="0007192B" w:rsidP="0007192B">
            <w:pPr>
              <w:pStyle w:val="BulletList1unnumbered"/>
              <w:numPr>
                <w:ilvl w:val="0"/>
                <w:numId w:val="2"/>
              </w:numPr>
              <w:spacing w:before="0" w:after="0" w:line="240" w:lineRule="auto"/>
              <w:ind w:left="210" w:hanging="142"/>
              <w:rPr>
                <w:rFonts w:asciiTheme="minorHAnsi" w:hAnsiTheme="minorHAnsi" w:cstheme="minorHAnsi"/>
              </w:rPr>
            </w:pPr>
            <w:proofErr w:type="spellStart"/>
            <w:r w:rsidRPr="00A96DEA">
              <w:rPr>
                <w:rFonts w:asciiTheme="minorHAnsi" w:hAnsiTheme="minorHAnsi" w:cstheme="minorHAnsi"/>
              </w:rPr>
              <w:t>Epipen</w:t>
            </w:r>
            <w:proofErr w:type="spellEnd"/>
            <w:r w:rsidRPr="00A96DEA">
              <w:rPr>
                <w:rFonts w:asciiTheme="minorHAnsi" w:hAnsiTheme="minorHAnsi" w:cstheme="minorHAnsi"/>
              </w:rPr>
              <w:t xml:space="preserve"> (0.3 milligrams)  </w:t>
            </w:r>
            <w:r w:rsidRPr="00A96DEA">
              <w:rPr>
                <w:rFonts w:asciiTheme="minorHAnsi" w:hAnsiTheme="minorHAnsi" w:cstheme="minorHAnsi"/>
                <w:b/>
              </w:rPr>
              <w:t>or</w:t>
            </w:r>
            <w:r w:rsidRPr="00A96DEA">
              <w:rPr>
                <w:rFonts w:asciiTheme="minorHAnsi" w:hAnsiTheme="minorHAnsi" w:cstheme="minorHAnsi"/>
              </w:rPr>
              <w:t xml:space="preserve"> </w:t>
            </w:r>
          </w:p>
          <w:p w14:paraId="6AB3F8E8" w14:textId="77777777" w:rsidR="0007192B" w:rsidRPr="00A96DEA" w:rsidRDefault="0007192B" w:rsidP="0007192B">
            <w:pPr>
              <w:pStyle w:val="BulletList1unnumbered"/>
              <w:numPr>
                <w:ilvl w:val="0"/>
                <w:numId w:val="2"/>
              </w:numPr>
              <w:spacing w:before="0" w:after="0" w:line="240" w:lineRule="auto"/>
              <w:ind w:left="210" w:hanging="142"/>
              <w:rPr>
                <w:rFonts w:asciiTheme="minorHAnsi" w:hAnsiTheme="minorHAnsi" w:cstheme="minorHAnsi"/>
              </w:rPr>
            </w:pPr>
            <w:proofErr w:type="spellStart"/>
            <w:r w:rsidRPr="00A96DEA">
              <w:rPr>
                <w:rFonts w:asciiTheme="minorHAnsi" w:hAnsiTheme="minorHAnsi" w:cstheme="minorHAnsi"/>
              </w:rPr>
              <w:t>Jext</w:t>
            </w:r>
            <w:proofErr w:type="spellEnd"/>
            <w:r w:rsidRPr="00A96DEA">
              <w:rPr>
                <w:rFonts w:asciiTheme="minorHAnsi" w:hAnsiTheme="minorHAnsi" w:cstheme="minorHAnsi"/>
              </w:rPr>
              <w:t xml:space="preserve"> 300 microgram</w:t>
            </w:r>
          </w:p>
        </w:tc>
      </w:tr>
    </w:tbl>
    <w:p w14:paraId="69497804" w14:textId="55CD8CC2" w:rsidR="00A96DEA" w:rsidRDefault="00987C64" w:rsidP="0007192B">
      <w:pPr>
        <w:pStyle w:val="BulletList1unnumbered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07192B" w:rsidRPr="00A96DEA">
        <w:rPr>
          <w:rFonts w:asciiTheme="minorHAnsi" w:hAnsiTheme="minorHAnsi" w:cstheme="minorHAnsi"/>
          <w:sz w:val="22"/>
          <w:szCs w:val="22"/>
        </w:rPr>
        <w:t>uidance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192B" w:rsidRPr="00A96DEA">
        <w:rPr>
          <w:rFonts w:asciiTheme="minorHAnsi" w:hAnsiTheme="minorHAnsi" w:cstheme="minorHAnsi"/>
          <w:sz w:val="22"/>
          <w:szCs w:val="22"/>
        </w:rPr>
        <w:t xml:space="preserve">is available at: </w:t>
      </w:r>
    </w:p>
    <w:p w14:paraId="5E854FA9" w14:textId="0465DA70" w:rsidR="00A96DEA" w:rsidRDefault="00987C64" w:rsidP="00A96DEA">
      <w:pPr>
        <w:pStyle w:val="BulletList1unnumbered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B05B73">
          <w:rPr>
            <w:rStyle w:val="Hyperlink"/>
            <w:rFonts w:asciiTheme="minorHAnsi" w:hAnsiTheme="minorHAnsi" w:cstheme="minorHAnsi"/>
            <w:sz w:val="22"/>
            <w:szCs w:val="22"/>
          </w:rPr>
          <w:t>https://www.gov.uk/government/publications/using-emergency-adrenaline-auto-injectors-in-schools</w:t>
        </w:r>
      </w:hyperlink>
    </w:p>
    <w:p w14:paraId="7DAA0B2E" w14:textId="4DD39F0B" w:rsidR="0007192B" w:rsidRPr="00A96DEA" w:rsidRDefault="00987C64" w:rsidP="00987C64">
      <w:pPr>
        <w:pStyle w:val="BulletList1unnumbered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Source for model letter </w:t>
      </w:r>
      <w:r w:rsidR="00EA5A41">
        <w:rPr>
          <w:rFonts w:asciiTheme="minorHAnsi" w:hAnsiTheme="minorHAnsi" w:cstheme="minorHAnsi"/>
          <w:sz w:val="22"/>
          <w:szCs w:val="22"/>
        </w:rPr>
        <w:t xml:space="preserve">advised by </w:t>
      </w:r>
      <w:r>
        <w:rPr>
          <w:rFonts w:asciiTheme="minorHAnsi" w:hAnsiTheme="minorHAnsi" w:cstheme="minorHAnsi"/>
          <w:sz w:val="22"/>
          <w:szCs w:val="22"/>
        </w:rPr>
        <w:t xml:space="preserve">DHSC </w:t>
      </w:r>
      <w:r w:rsidR="00EA5A41">
        <w:rPr>
          <w:rFonts w:asciiTheme="minorHAnsi" w:hAnsiTheme="minorHAnsi" w:cstheme="minorHAnsi"/>
          <w:sz w:val="22"/>
          <w:szCs w:val="22"/>
        </w:rPr>
        <w:t xml:space="preserve">guidance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hyperlink r:id="rId6" w:history="1">
        <w:r w:rsidR="0007192B" w:rsidRPr="00A96DEA">
          <w:rPr>
            <w:rStyle w:val="Hyperlink"/>
            <w:rFonts w:asciiTheme="minorHAnsi" w:hAnsiTheme="minorHAnsi" w:cstheme="minorHAnsi"/>
            <w:sz w:val="22"/>
            <w:szCs w:val="22"/>
          </w:rPr>
          <w:t>http://www.sparepensinschools.uk</w:t>
        </w:r>
      </w:hyperlink>
    </w:p>
    <w:p w14:paraId="7F7BDDB1" w14:textId="77777777" w:rsidR="00461254" w:rsidRPr="00A96DEA" w:rsidRDefault="00461254">
      <w:pPr>
        <w:rPr>
          <w:rFonts w:asciiTheme="minorHAnsi" w:hAnsiTheme="minorHAnsi" w:cstheme="minorHAnsi"/>
          <w:sz w:val="22"/>
          <w:szCs w:val="22"/>
        </w:rPr>
      </w:pPr>
    </w:p>
    <w:sectPr w:rsidR="00461254" w:rsidRPr="00A96DEA" w:rsidSect="00A96DEA"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E766C"/>
    <w:multiLevelType w:val="hybridMultilevel"/>
    <w:tmpl w:val="CB3E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647"/>
    <w:multiLevelType w:val="multilevel"/>
    <w:tmpl w:val="6F0A45FA"/>
    <w:lvl w:ilvl="0">
      <w:start w:val="1"/>
      <w:numFmt w:val="bullet"/>
      <w:pStyle w:val="BulletList1unnumbered"/>
      <w:lvlText w:val=""/>
      <w:lvlJc w:val="left"/>
      <w:pPr>
        <w:ind w:left="1211" w:hanging="360"/>
      </w:pPr>
      <w:rPr>
        <w:rFonts w:ascii="Symbol" w:hAnsi="Symbol" w:hint="default"/>
        <w:color w:val="01D1AE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314646320">
    <w:abstractNumId w:val="1"/>
  </w:num>
  <w:num w:numId="2" w16cid:durableId="72718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2B"/>
    <w:rsid w:val="00032FD1"/>
    <w:rsid w:val="0007192B"/>
    <w:rsid w:val="000B4EBE"/>
    <w:rsid w:val="0015669D"/>
    <w:rsid w:val="00320D4D"/>
    <w:rsid w:val="003600A7"/>
    <w:rsid w:val="00363369"/>
    <w:rsid w:val="003B7F95"/>
    <w:rsid w:val="004510E2"/>
    <w:rsid w:val="00461254"/>
    <w:rsid w:val="006765DF"/>
    <w:rsid w:val="006F7D19"/>
    <w:rsid w:val="007B0A6E"/>
    <w:rsid w:val="008E4877"/>
    <w:rsid w:val="008E539C"/>
    <w:rsid w:val="00987C64"/>
    <w:rsid w:val="009B273D"/>
    <w:rsid w:val="00A41628"/>
    <w:rsid w:val="00A550F8"/>
    <w:rsid w:val="00A92F48"/>
    <w:rsid w:val="00A96DEA"/>
    <w:rsid w:val="00B4640E"/>
    <w:rsid w:val="00B46657"/>
    <w:rsid w:val="00B61C00"/>
    <w:rsid w:val="00C336A0"/>
    <w:rsid w:val="00C523E7"/>
    <w:rsid w:val="00DD65FB"/>
    <w:rsid w:val="00DF7609"/>
    <w:rsid w:val="00E17892"/>
    <w:rsid w:val="00E57661"/>
    <w:rsid w:val="00E76FB3"/>
    <w:rsid w:val="00EA5A41"/>
    <w:rsid w:val="00EF643D"/>
    <w:rsid w:val="00EF67A1"/>
    <w:rsid w:val="00F17F6B"/>
    <w:rsid w:val="00F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5E36"/>
  <w14:defaultImageDpi w14:val="32767"/>
  <w15:chartTrackingRefBased/>
  <w15:docId w15:val="{327A750D-C3B9-5744-980C-5EBD978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192B"/>
    <w:pPr>
      <w:spacing w:before="120" w:after="120" w:line="280" w:lineRule="exact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2">
    <w:name w:val="Bullet List 2"/>
    <w:uiPriority w:val="5"/>
    <w:qFormat/>
    <w:rsid w:val="0007192B"/>
    <w:pPr>
      <w:numPr>
        <w:ilvl w:val="1"/>
        <w:numId w:val="1"/>
      </w:numPr>
      <w:ind w:left="1418" w:hanging="284"/>
    </w:pPr>
    <w:rPr>
      <w:rFonts w:ascii="Arial" w:eastAsia="Times New Roman" w:hAnsi="Arial" w:cs="Times New Roman"/>
      <w:lang w:val="en-GB"/>
    </w:rPr>
  </w:style>
  <w:style w:type="paragraph" w:customStyle="1" w:styleId="BulletList1unnumbered">
    <w:name w:val="Bullet List 1 (unnumbered)"/>
    <w:uiPriority w:val="2"/>
    <w:qFormat/>
    <w:rsid w:val="0007192B"/>
    <w:pPr>
      <w:numPr>
        <w:numId w:val="1"/>
      </w:numPr>
      <w:spacing w:before="120" w:after="120" w:line="320" w:lineRule="exact"/>
      <w:ind w:left="357" w:hanging="357"/>
    </w:pPr>
    <w:rPr>
      <w:rFonts w:ascii="Arial" w:eastAsia="Times New Roman" w:hAnsi="Arial" w:cs="Times New Roman"/>
      <w:lang w:val="en-GB"/>
    </w:rPr>
  </w:style>
  <w:style w:type="paragraph" w:customStyle="1" w:styleId="BulletList3">
    <w:name w:val="Bullet List 3"/>
    <w:uiPriority w:val="6"/>
    <w:unhideWhenUsed/>
    <w:qFormat/>
    <w:rsid w:val="0007192B"/>
    <w:pPr>
      <w:numPr>
        <w:ilvl w:val="2"/>
        <w:numId w:val="1"/>
      </w:numPr>
      <w:ind w:left="1985" w:hanging="284"/>
    </w:pPr>
    <w:rPr>
      <w:rFonts w:ascii="Arial" w:eastAsia="Times New Roman" w:hAnsi="Arial" w:cs="Times New Roman"/>
      <w:lang w:val="en-GB"/>
    </w:rPr>
  </w:style>
  <w:style w:type="character" w:styleId="Hyperlink">
    <w:name w:val="Hyperlink"/>
    <w:uiPriority w:val="99"/>
    <w:rsid w:val="0007192B"/>
    <w:rPr>
      <w:rFonts w:ascii="Helvetica Neue" w:hAnsi="Helvetica Neue"/>
      <w:color w:val="0000FF"/>
      <w:sz w:val="24"/>
      <w:u w:val="single"/>
    </w:rPr>
  </w:style>
  <w:style w:type="table" w:styleId="TableGrid">
    <w:name w:val="Table Grid"/>
    <w:basedOn w:val="TableNormal"/>
    <w:uiPriority w:val="59"/>
    <w:rsid w:val="0007192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96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epensinschools.uk" TargetMode="External"/><Relationship Id="rId5" Type="http://schemas.openxmlformats.org/officeDocument/2006/relationships/hyperlink" Target="https://www.gov.uk/government/publications/using-emergency-adrenaline-auto-injectors-in-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PJT</dc:creator>
  <cp:keywords/>
  <dc:description/>
  <cp:lastModifiedBy>Alicia Kennedy</cp:lastModifiedBy>
  <cp:revision>2</cp:revision>
  <dcterms:created xsi:type="dcterms:W3CDTF">2025-02-05T18:34:00Z</dcterms:created>
  <dcterms:modified xsi:type="dcterms:W3CDTF">2025-02-05T18:34:00Z</dcterms:modified>
</cp:coreProperties>
</file>